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51" w:rsidRDefault="00F77FF2" w:rsidP="00BC3C20">
      <w:pPr>
        <w:widowControl w:val="0"/>
        <w:autoSpaceDE w:val="0"/>
        <w:autoSpaceDN w:val="0"/>
        <w:adjustRightInd w:val="0"/>
        <w:spacing w:after="0" w:line="240" w:lineRule="auto"/>
        <w:ind w:left="2484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 wp14:anchorId="465CE788" wp14:editId="752B2006">
            <wp:simplePos x="0" y="0"/>
            <wp:positionH relativeFrom="page">
              <wp:posOffset>897255</wp:posOffset>
            </wp:positionH>
            <wp:positionV relativeFrom="page">
              <wp:posOffset>13970</wp:posOffset>
            </wp:positionV>
            <wp:extent cx="6576695" cy="10057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1" w:rsidRDefault="0001555D">
      <w:pPr>
        <w:widowControl w:val="0"/>
        <w:tabs>
          <w:tab w:val="left" w:pos="504"/>
        </w:tabs>
        <w:autoSpaceDE w:val="0"/>
        <w:autoSpaceDN w:val="0"/>
        <w:adjustRightInd w:val="0"/>
        <w:spacing w:after="0" w:line="240" w:lineRule="auto"/>
        <w:ind w:left="12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 xml:space="preserve">Name, Address and Telephone Number of Person </w:t>
      </w:r>
      <w:proofErr w:type="gramStart"/>
      <w:r>
        <w:rPr>
          <w:rFonts w:ascii="Book Antiqua" w:hAnsi="Book Antiqua" w:cs="Book Antiqua"/>
          <w:i/>
          <w:iCs/>
          <w:sz w:val="20"/>
          <w:szCs w:val="20"/>
        </w:rPr>
        <w:t>Without</w:t>
      </w:r>
      <w:proofErr w:type="gramEnd"/>
      <w:r>
        <w:rPr>
          <w:rFonts w:ascii="Book Antiqua" w:hAnsi="Book Antiqua" w:cs="Book Antiqua"/>
          <w:i/>
          <w:iCs/>
          <w:sz w:val="20"/>
          <w:szCs w:val="20"/>
        </w:rPr>
        <w:t xml:space="preserve"> Attorney: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520"/>
        <w:gridCol w:w="1780"/>
        <w:gridCol w:w="120"/>
        <w:gridCol w:w="1120"/>
        <w:gridCol w:w="180"/>
        <w:gridCol w:w="60"/>
        <w:gridCol w:w="280"/>
        <w:gridCol w:w="2160"/>
        <w:gridCol w:w="720"/>
        <w:gridCol w:w="1880"/>
        <w:gridCol w:w="20"/>
      </w:tblGrid>
      <w:tr w:rsidR="00806651">
        <w:trPr>
          <w:trHeight w:val="32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 Pro Per</w:t>
            </w:r>
            <w:r w:rsidR="006C5BEC">
              <w:rPr>
                <w:rFonts w:ascii="Book Antiqua" w:hAnsi="Book Antiqua" w:cs="Book Antiqua"/>
                <w:sz w:val="24"/>
                <w:szCs w:val="24"/>
              </w:rPr>
              <w:t xml:space="preserve"> Jane Doe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SUPERIOR COURT OF THE STATE OF CALIFORNIA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COUNTY OF SANTA CLARA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11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 the Matter of the Estate of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Case No.: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12</w:t>
            </w:r>
          </w:p>
        </w:tc>
        <w:tc>
          <w:tcPr>
            <w:tcW w:w="3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6C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JUD</w:t>
            </w:r>
            <w:r w:rsidR="00BC3C20">
              <w:rPr>
                <w:rFonts w:ascii="Book Antiqua" w:hAnsi="Book Antiqua" w:cs="Book Antiqua"/>
                <w:sz w:val="24"/>
                <w:szCs w:val="24"/>
              </w:rPr>
              <w:t>GMENT OF FINAL DISTRIBUTION 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WAIVER OF ACCOUNTING, ALLOWING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STATUTORY FEES TO 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REPRESENTATIVE AND FOR FINAL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Decedent.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6C5B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Date: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Time: 9:00 a.m.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40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Dept.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60"/>
        </w:trPr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74"/>
        </w:trPr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22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[name of personal representative]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23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of the Estate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8"/>
                <w:sz w:val="20"/>
                <w:szCs w:val="20"/>
              </w:rPr>
              <w:t>[name of decedent]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, deceased, having filed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[his/her] [title of petition as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stated in caption]</w:t>
      </w:r>
      <w:r>
        <w:rPr>
          <w:rFonts w:ascii="Book Antiqua" w:hAnsi="Book Antiqua" w:cs="Book Antiqua"/>
          <w:sz w:val="24"/>
          <w:szCs w:val="24"/>
        </w:rPr>
        <w:t>, and the report and petition coming on this date regularly for hearing, in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Department ___ of the above court, the Court finds: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 Due notice of the hearing on the petition for final distribution of the estate has been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1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regularly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given for the period and in the manner prescribed by law.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966"/>
          <w:pgMar w:top="696" w:right="740" w:bottom="0" w:left="1056" w:header="720" w:footer="720" w:gutter="0"/>
          <w:cols w:space="720" w:equalWidth="0">
            <w:col w:w="10444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BC3C2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966"/>
          <w:pgMar w:top="696" w:right="820" w:bottom="0" w:left="2620" w:header="720" w:footer="720" w:gutter="0"/>
          <w:cols w:space="720" w:equalWidth="0">
            <w:col w:w="8800"/>
          </w:cols>
          <w:noEndnote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120"/>
        <w:gridCol w:w="60"/>
        <w:gridCol w:w="260"/>
        <w:gridCol w:w="720"/>
        <w:gridCol w:w="580"/>
        <w:gridCol w:w="860"/>
        <w:gridCol w:w="1100"/>
        <w:gridCol w:w="160"/>
        <w:gridCol w:w="400"/>
        <w:gridCol w:w="500"/>
        <w:gridCol w:w="720"/>
        <w:gridCol w:w="720"/>
        <w:gridCol w:w="980"/>
        <w:gridCol w:w="460"/>
        <w:gridCol w:w="100"/>
        <w:gridCol w:w="620"/>
        <w:gridCol w:w="500"/>
        <w:gridCol w:w="20"/>
      </w:tblGrid>
      <w:tr w:rsidR="00806651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F7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0" allowOverlap="1" wp14:anchorId="06A4A1AC" wp14:editId="74DB0378">
                  <wp:simplePos x="0" y="0"/>
                  <wp:positionH relativeFrom="page">
                    <wp:posOffset>914400</wp:posOffset>
                  </wp:positionH>
                  <wp:positionV relativeFrom="page">
                    <wp:posOffset>47625</wp:posOffset>
                  </wp:positionV>
                  <wp:extent cx="6572250" cy="100507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1005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2" w:name="page3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7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2.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All allegations of the petition are true.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3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3.</w:t>
            </w:r>
          </w:p>
        </w:tc>
        <w:tc>
          <w:tcPr>
            <w:tcW w:w="4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[name of decedent]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died on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[date]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5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the City of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County of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, State of California,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4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was a resident of that county at the time of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[his/her]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Book Antiqua"/>
                <w:sz w:val="24"/>
                <w:szCs w:val="24"/>
              </w:rPr>
              <w:t>death</w:t>
            </w:r>
            <w:proofErr w:type="gramEnd"/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4.</w:t>
            </w:r>
          </w:p>
        </w:tc>
        <w:tc>
          <w:tcPr>
            <w:tcW w:w="71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Petitioner qualified as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of the estate and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[Letters Testamentary/Letters of Administration/Letters of Administration-with-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w w:val="98"/>
                <w:sz w:val="20"/>
                <w:szCs w:val="20"/>
              </w:rPr>
              <w:t>will-annexed]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were issued to petitioner on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[date Letters were issued]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. At all times since then petitioner have been acting as the duly qualified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9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[executor/administrator/administrator-with-will-annexed]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of the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decedent’s estate, with authority to administer the estate without court supervision under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Independent Administration of Estates Act.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 More than four months have elapsed since the issuance of Letters. Notice of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administration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has been given to creditors as required by law. The time for filing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presenting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creditor’s claims has expired, and the estate is now in a condition to be closed.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92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6.  </w:t>
      </w:r>
      <w:r>
        <w:rPr>
          <w:rFonts w:ascii="Book Antiqua" w:hAnsi="Book Antiqua" w:cs="Book Antiqua"/>
          <w:i/>
          <w:iCs/>
          <w:sz w:val="20"/>
          <w:szCs w:val="20"/>
        </w:rPr>
        <w:t>[</w:t>
      </w:r>
      <w:r>
        <w:rPr>
          <w:rFonts w:ascii="Book Antiqua" w:hAnsi="Book Antiqua" w:cs="Book Antiqua"/>
          <w:sz w:val="20"/>
          <w:szCs w:val="20"/>
        </w:rPr>
        <w:t>No claims have been filed with the court or presented to the personal representative/All claims</w:t>
      </w:r>
      <w:r>
        <w:rPr>
          <w:rFonts w:ascii="Book Antiqua" w:hAnsi="Book Antiqua" w:cs="Book Antiqua"/>
          <w:sz w:val="24"/>
          <w:szCs w:val="24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93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filed and served on the estate have been allowed by the personal representative, approved by this court,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paid./All claims filed and served on the estate were either allowed by the personal representative, approved by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this court and paid, or rejected by the personal representative or this court; written notice of rejection of each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rejected claim has been given in conformity with law; more than three months have elapsed since service of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9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0"/>
          <w:szCs w:val="20"/>
        </w:rPr>
        <w:t>notice</w:t>
      </w:r>
      <w:proofErr w:type="gramEnd"/>
      <w:r>
        <w:rPr>
          <w:rFonts w:ascii="Book Antiqua" w:hAnsi="Book Antiqua" w:cs="Book Antiqua"/>
          <w:sz w:val="20"/>
          <w:szCs w:val="20"/>
        </w:rPr>
        <w:t xml:space="preserve"> of rejection and more than two months have elapsed since the last rejected claim became due.]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60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7.  All debts of decedent and of the estate and all expenses of administration, except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closing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expenses and statutory commissions of the personal representative have been paid.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79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8.  All personal property taxes due and payable by this estate have been paid </w:t>
      </w:r>
      <w:r>
        <w:rPr>
          <w:rFonts w:ascii="Book Antiqua" w:hAnsi="Book Antiqua" w:cs="Book Antiqua"/>
          <w:i/>
          <w:iCs/>
          <w:sz w:val="24"/>
          <w:szCs w:val="24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No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3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personal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property taxes are due and payable by this estate.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9.  A federal estate tax return, Form 706, has not been filed because the estate is not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sufficient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to require such a return. No California estate taxes are due and payable by this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40" w:lineRule="auto"/>
        <w:ind w:left="524" w:hanging="524"/>
        <w:jc w:val="both"/>
        <w:rPr>
          <w:rFonts w:ascii="Book Antiqua" w:hAnsi="Book Antiqua" w:cs="Book Antiqua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estate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2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1244" w:hanging="124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10. All California and federal income taxes due and payable by the estate will be paid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740" w:bottom="0" w:left="1056" w:header="720" w:footer="720" w:gutter="0"/>
          <w:cols w:space="720" w:equalWidth="0">
            <w:col w:w="10444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BC3C2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720" w:equalWidth="0">
            <w:col w:w="880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C3C20"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 </w:t>
      </w:r>
    </w:p>
    <w:p w:rsidR="00806651" w:rsidRDefault="00F7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-624840</wp:posOffset>
            </wp:positionV>
            <wp:extent cx="6576695" cy="100577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by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the personal representative from decedent's estate prior to distribution </w:t>
      </w:r>
      <w:r>
        <w:rPr>
          <w:rFonts w:ascii="Book Antiqua" w:hAnsi="Book Antiqua" w:cs="Book Antiqua"/>
          <w:i/>
          <w:iCs/>
          <w:sz w:val="24"/>
          <w:szCs w:val="24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No California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or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federal income taxes are due and payable by the estate.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920" w:bottom="0" w:left="1180" w:header="720" w:footer="720" w:gutter="0"/>
          <w:cols w:num="2" w:space="280" w:equalWidth="0">
            <w:col w:w="120" w:space="280"/>
            <w:col w:w="9740"/>
          </w:cols>
          <w:noEndnote/>
        </w:sect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3" w:lineRule="auto"/>
        <w:ind w:left="1244" w:hanging="11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11. </w:t>
      </w:r>
      <w:r>
        <w:rPr>
          <w:rFonts w:ascii="Book Antiqua" w:hAnsi="Book Antiqua" w:cs="Book Antiqua"/>
          <w:i/>
          <w:iCs/>
          <w:sz w:val="20"/>
          <w:szCs w:val="20"/>
        </w:rPr>
        <w:t>[Name(s)]</w:t>
      </w:r>
      <w:r>
        <w:rPr>
          <w:rFonts w:ascii="Book Antiqua" w:hAnsi="Book Antiqua" w:cs="Book Antiqua"/>
          <w:sz w:val="24"/>
          <w:szCs w:val="24"/>
        </w:rPr>
        <w:t>, the person</w:t>
      </w:r>
      <w:r>
        <w:rPr>
          <w:rFonts w:ascii="Book Antiqua" w:hAnsi="Book Antiqua" w:cs="Book Antiqua"/>
          <w:i/>
          <w:iCs/>
          <w:sz w:val="20"/>
          <w:szCs w:val="20"/>
        </w:rPr>
        <w:t>(s)</w:t>
      </w:r>
      <w:r>
        <w:rPr>
          <w:rFonts w:ascii="Book Antiqua" w:hAnsi="Book Antiqua" w:cs="Book Antiqua"/>
          <w:sz w:val="24"/>
          <w:szCs w:val="24"/>
        </w:rPr>
        <w:t xml:space="preserve"> entitled to distribution of all of the estate, have waived an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40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account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by the personal representative.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1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12. The estimated expenses of closing the estate, including the reserve for any liability </w:t>
      </w:r>
    </w:p>
    <w:p w:rsidR="00806651" w:rsidRDefault="0001555D">
      <w:pPr>
        <w:widowControl w:val="0"/>
        <w:tabs>
          <w:tab w:val="left" w:pos="504"/>
          <w:tab w:val="left" w:pos="9864"/>
        </w:tabs>
        <w:autoSpaceDE w:val="0"/>
        <w:autoSpaceDN w:val="0"/>
        <w:adjustRightInd w:val="0"/>
        <w:spacing w:after="0" w:line="240" w:lineRule="auto"/>
        <w:ind w:left="12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that may hereafter be determined to be due from this estate, are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3"/>
          <w:szCs w:val="23"/>
        </w:rPr>
        <w:t>, and</w:t>
      </w: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40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the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personal representative should be authorized to withhold that sum from distribution.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1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13. The estate consists of the decedent's </w:t>
      </w:r>
      <w:r>
        <w:rPr>
          <w:rFonts w:ascii="Book Antiqua" w:hAnsi="Book Antiqua" w:cs="Book Antiqua"/>
          <w:i/>
          <w:iCs/>
          <w:sz w:val="20"/>
          <w:szCs w:val="20"/>
        </w:rPr>
        <w:t>[separate/one-half interest in the community property of</w:t>
      </w:r>
      <w:r>
        <w:rPr>
          <w:rFonts w:ascii="Book Antiqua" w:hAnsi="Book Antiqua" w:cs="Book Antiqua"/>
          <w:sz w:val="23"/>
          <w:szCs w:val="23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proofErr w:type="gramStart"/>
      <w:r>
        <w:rPr>
          <w:rFonts w:ascii="Book Antiqua" w:hAnsi="Book Antiqua" w:cs="Book Antiqua"/>
          <w:i/>
          <w:iCs/>
          <w:sz w:val="20"/>
          <w:szCs w:val="20"/>
        </w:rPr>
        <w:t>decedent</w:t>
      </w:r>
      <w:proofErr w:type="gramEnd"/>
      <w:r>
        <w:rPr>
          <w:rFonts w:ascii="Book Antiqua" w:hAnsi="Book Antiqua" w:cs="Book Antiqua"/>
          <w:i/>
          <w:iCs/>
          <w:sz w:val="20"/>
          <w:szCs w:val="20"/>
        </w:rPr>
        <w:t xml:space="preserve"> and his/her surviving spouse/quasi-community] </w:t>
      </w:r>
      <w:r>
        <w:rPr>
          <w:rFonts w:ascii="Book Antiqua" w:hAnsi="Book Antiqua" w:cs="Book Antiqua"/>
          <w:sz w:val="23"/>
          <w:szCs w:val="23"/>
        </w:rPr>
        <w:t>property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[or describe interests, if mixed]</w:t>
      </w:r>
      <w:r>
        <w:rPr>
          <w:rFonts w:ascii="Book Antiqua" w:hAnsi="Book Antiqua" w:cs="Book Antiqua"/>
          <w:sz w:val="23"/>
          <w:szCs w:val="23"/>
        </w:rPr>
        <w:t>.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14. Distribution should be ordered as specified below.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IT IS ORDERED and adjudged that: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1. 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has in </w:t>
      </w:r>
      <w:r>
        <w:rPr>
          <w:rFonts w:ascii="Book Antiqua" w:hAnsi="Book Antiqua" w:cs="Book Antiqua"/>
          <w:i/>
          <w:iCs/>
          <w:sz w:val="20"/>
          <w:szCs w:val="20"/>
        </w:rPr>
        <w:t>[his/her]</w:t>
      </w:r>
      <w:r>
        <w:rPr>
          <w:rFonts w:ascii="Book Antiqua" w:hAnsi="Book Antiqua" w:cs="Book Antiqua"/>
          <w:sz w:val="23"/>
          <w:szCs w:val="23"/>
        </w:rPr>
        <w:t xml:space="preserve"> possession belonging to the estate, after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deducting credits to which </w:t>
      </w:r>
      <w:r>
        <w:rPr>
          <w:rFonts w:ascii="Book Antiqua" w:hAnsi="Book Antiqua" w:cs="Book Antiqua"/>
          <w:i/>
          <w:iCs/>
          <w:sz w:val="20"/>
          <w:szCs w:val="20"/>
        </w:rPr>
        <w:t>[he/she]</w:t>
      </w:r>
      <w:r>
        <w:rPr>
          <w:rFonts w:ascii="Book Antiqua" w:hAnsi="Book Antiqua" w:cs="Book Antiqua"/>
          <w:sz w:val="23"/>
          <w:szCs w:val="23"/>
        </w:rPr>
        <w:t xml:space="preserve"> is entitled, a balance at the appraised value of $ </w:t>
      </w:r>
    </w:p>
    <w:p w:rsidR="00806651" w:rsidRDefault="0001555D">
      <w:pPr>
        <w:widowControl w:val="0"/>
        <w:tabs>
          <w:tab w:val="left" w:pos="1583"/>
          <w:tab w:val="left" w:pos="488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, of which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is in cash. The first and final account, petition and</w:t>
      </w: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5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report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4"/>
          <w:szCs w:val="24"/>
        </w:rPr>
        <w:t xml:space="preserve"> is settled, allowed, and approved as filed.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/or/</w:t>
      </w:r>
      <w:r>
        <w:rPr>
          <w:rFonts w:ascii="Book Antiqua" w:hAnsi="Book Antiqua" w:cs="Book Antiqua"/>
          <w:sz w:val="24"/>
          <w:szCs w:val="24"/>
        </w:rPr>
        <w:t xml:space="preserve">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administration of the estate is brought to a close without the requirement of an account The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5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i/>
          <w:iCs/>
          <w:sz w:val="20"/>
          <w:szCs w:val="20"/>
        </w:rPr>
        <w:t>[</w:t>
      </w:r>
      <w:proofErr w:type="gramStart"/>
      <w:r>
        <w:rPr>
          <w:rFonts w:ascii="Book Antiqua" w:hAnsi="Book Antiqua" w:cs="Book Antiqua"/>
          <w:i/>
          <w:iCs/>
          <w:sz w:val="20"/>
          <w:szCs w:val="20"/>
        </w:rPr>
        <w:t>executor/administrator/etc</w:t>
      </w:r>
      <w:proofErr w:type="gramEnd"/>
      <w:r>
        <w:rPr>
          <w:rFonts w:ascii="Book Antiqua" w:hAnsi="Book Antiqua" w:cs="Book Antiqua"/>
          <w:i/>
          <w:iCs/>
          <w:sz w:val="20"/>
          <w:szCs w:val="20"/>
        </w:rPr>
        <w:t xml:space="preserve">.] </w:t>
      </w:r>
      <w:r>
        <w:rPr>
          <w:rFonts w:ascii="Book Antiqua" w:hAnsi="Book Antiqua" w:cs="Book Antiqua"/>
          <w:sz w:val="23"/>
          <w:szCs w:val="23"/>
        </w:rPr>
        <w:t>has in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[his/her] </w:t>
      </w:r>
      <w:r>
        <w:rPr>
          <w:rFonts w:ascii="Book Antiqua" w:hAnsi="Book Antiqua" w:cs="Book Antiqua"/>
          <w:sz w:val="23"/>
          <w:szCs w:val="23"/>
        </w:rPr>
        <w:t>possession belonging to the estate a balance at the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</w:t>
      </w:r>
    </w:p>
    <w:p w:rsidR="00806651" w:rsidRDefault="0001555D">
      <w:pPr>
        <w:widowControl w:val="0"/>
        <w:tabs>
          <w:tab w:val="left" w:pos="504"/>
          <w:tab w:val="left" w:pos="4103"/>
          <w:tab w:val="left" w:pos="704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>appraised value of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, of which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is in cash.</w:t>
      </w: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38" w:lineRule="auto"/>
        <w:ind w:left="1244" w:hanging="124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r>
        <w:rPr>
          <w:rFonts w:ascii="Book Antiqua" w:hAnsi="Book Antiqua" w:cs="Book Antiqua"/>
          <w:sz w:val="24"/>
          <w:szCs w:val="24"/>
        </w:rPr>
        <w:t xml:space="preserve">2.  All acts and transactions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4"/>
          <w:szCs w:val="24"/>
        </w:rPr>
        <w:t xml:space="preserve"> relating to the matters set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forth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in the account, report and petition are confirmed and approved. 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/or/</w:t>
      </w:r>
      <w:r>
        <w:rPr>
          <w:rFonts w:ascii="Book Antiqua" w:hAnsi="Book Antiqua" w:cs="Book Antiqua"/>
          <w:sz w:val="23"/>
          <w:szCs w:val="23"/>
        </w:rPr>
        <w:t xml:space="preserve"> All acts and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transactions of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relating to the matters set forth in the waiver of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6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account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and petition are confirmed and approved. </w:t>
      </w:r>
    </w:p>
    <w:p w:rsidR="00806651" w:rsidRDefault="0001555D">
      <w:pPr>
        <w:widowControl w:val="0"/>
        <w:tabs>
          <w:tab w:val="left" w:pos="1224"/>
          <w:tab w:val="left" w:pos="8484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39"/>
          <w:szCs w:val="39"/>
          <w:vertAlign w:val="subscript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1"/>
          <w:szCs w:val="21"/>
        </w:rPr>
        <w:t xml:space="preserve">3.  The </w:t>
      </w:r>
      <w:r>
        <w:rPr>
          <w:rFonts w:ascii="Book Antiqua" w:hAnsi="Book Antiqua" w:cs="Book Antiqua"/>
          <w:i/>
          <w:iCs/>
          <w:sz w:val="18"/>
          <w:szCs w:val="18"/>
        </w:rPr>
        <w:t>[executor/administrator/etc.]</w:t>
      </w:r>
      <w:r>
        <w:rPr>
          <w:rFonts w:ascii="Book Antiqua" w:hAnsi="Book Antiqua" w:cs="Book Antiqua"/>
          <w:sz w:val="21"/>
          <w:szCs w:val="21"/>
        </w:rPr>
        <w:t xml:space="preserve"> is authorized to retain $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>from distribution</w:t>
      </w: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38" w:lineRule="auto"/>
        <w:ind w:left="524" w:hanging="524"/>
        <w:jc w:val="both"/>
        <w:rPr>
          <w:rFonts w:ascii="Book Antiqua" w:hAnsi="Book Antiqua" w:cs="Book Antiqua"/>
          <w:sz w:val="48"/>
          <w:szCs w:val="48"/>
          <w:vertAlign w:val="subscript"/>
        </w:rPr>
      </w:pPr>
      <w:proofErr w:type="gramStart"/>
      <w:r>
        <w:rPr>
          <w:rFonts w:ascii="Book Antiqua" w:hAnsi="Book Antiqua" w:cs="Book Antiqua"/>
          <w:sz w:val="24"/>
          <w:szCs w:val="24"/>
        </w:rPr>
        <w:t>at</w:t>
      </w:r>
      <w:proofErr w:type="gramEnd"/>
      <w:r>
        <w:rPr>
          <w:rFonts w:ascii="Book Antiqua" w:hAnsi="Book Antiqua" w:cs="Book Antiqua"/>
          <w:sz w:val="24"/>
          <w:szCs w:val="24"/>
        </w:rPr>
        <w:t xml:space="preserve"> this time to defray closing expenses and as a reserve for additional liabilities. Any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7" w:lineRule="exact"/>
        <w:rPr>
          <w:rFonts w:ascii="Book Antiqua" w:hAnsi="Book Antiqua" w:cs="Book Antiqua"/>
          <w:sz w:val="48"/>
          <w:szCs w:val="48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unexpended portion of such reserve shall be distributed to the </w:t>
      </w:r>
      <w:proofErr w:type="spellStart"/>
      <w:r>
        <w:rPr>
          <w:rFonts w:ascii="Book Antiqua" w:hAnsi="Book Antiqua" w:cs="Book Antiqua"/>
          <w:sz w:val="23"/>
          <w:szCs w:val="23"/>
        </w:rPr>
        <w:t>distributees</w:t>
      </w:r>
      <w:proofErr w:type="spellEnd"/>
      <w:r>
        <w:rPr>
          <w:rFonts w:ascii="Book Antiqua" w:hAnsi="Book Antiqua" w:cs="Book Antiqua"/>
          <w:sz w:val="23"/>
          <w:szCs w:val="23"/>
        </w:rPr>
        <w:t xml:space="preserve"> as set forth in this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181" w:lineRule="auto"/>
        <w:ind w:left="524" w:hanging="52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document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without further order of this court.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48" w:lineRule="exact"/>
        <w:rPr>
          <w:rFonts w:ascii="Book Antiqua" w:hAnsi="Book Antiqua" w:cs="Book Antiqua"/>
          <w:sz w:val="46"/>
          <w:szCs w:val="46"/>
          <w:vertAlign w:val="subscript"/>
        </w:rPr>
      </w:pPr>
    </w:p>
    <w:p w:rsidR="00806651" w:rsidRDefault="0001555D">
      <w:pPr>
        <w:widowControl w:val="0"/>
        <w:numPr>
          <w:ilvl w:val="0"/>
          <w:numId w:val="7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181" w:lineRule="auto"/>
        <w:ind w:left="1244" w:hanging="1244"/>
        <w:jc w:val="both"/>
        <w:rPr>
          <w:rFonts w:ascii="Book Antiqua" w:hAnsi="Book Antiqua" w:cs="Book Antiqua"/>
          <w:sz w:val="46"/>
          <w:szCs w:val="46"/>
          <w:vertAlign w:val="subscript"/>
        </w:rPr>
      </w:pPr>
      <w:r>
        <w:rPr>
          <w:rFonts w:ascii="Book Antiqua" w:hAnsi="Book Antiqua" w:cs="Book Antiqua"/>
          <w:sz w:val="23"/>
          <w:szCs w:val="23"/>
        </w:rPr>
        <w:t xml:space="preserve">4.  The </w:t>
      </w:r>
      <w:r>
        <w:rPr>
          <w:rFonts w:ascii="Book Antiqua" w:hAnsi="Book Antiqua" w:cs="Book Antiqua"/>
          <w:i/>
          <w:iCs/>
          <w:sz w:val="20"/>
          <w:szCs w:val="20"/>
        </w:rPr>
        <w:t>[executor/administrator/etc.]</w:t>
      </w:r>
      <w:r>
        <w:rPr>
          <w:rFonts w:ascii="Book Antiqua" w:hAnsi="Book Antiqua" w:cs="Book Antiqua"/>
          <w:sz w:val="23"/>
          <w:szCs w:val="23"/>
        </w:rPr>
        <w:t xml:space="preserve"> is authorized and directed to pay to </w:t>
      </w:r>
      <w:r>
        <w:rPr>
          <w:rFonts w:ascii="Book Antiqua" w:hAnsi="Book Antiqua" w:cs="Book Antiqua"/>
          <w:i/>
          <w:iCs/>
          <w:sz w:val="20"/>
          <w:szCs w:val="20"/>
        </w:rPr>
        <w:t>[himself/herself]</w:t>
      </w:r>
      <w:r>
        <w:rPr>
          <w:rFonts w:ascii="Book Antiqua" w:hAnsi="Book Antiqua" w:cs="Book Antiqua"/>
          <w:sz w:val="23"/>
          <w:szCs w:val="23"/>
        </w:rPr>
        <w:t xml:space="preserve"> $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780" w:bottom="0" w:left="1056" w:header="720" w:footer="720" w:gutter="0"/>
          <w:cols w:space="280" w:equalWidth="0">
            <w:col w:w="10404" w:space="2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BC3C2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280" w:equalWidth="0">
            <w:col w:w="8800" w:space="2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BC3C20">
        <w:rPr>
          <w:rFonts w:ascii="Book Antiqua" w:hAnsi="Book Antiqua" w:cs="Book Antiqua"/>
          <w:b/>
          <w:bCs/>
          <w:sz w:val="24"/>
          <w:szCs w:val="24"/>
        </w:rPr>
        <w:lastRenderedPageBreak/>
        <w:t xml:space="preserve"> </w:t>
      </w:r>
    </w:p>
    <w:p w:rsidR="00806651" w:rsidRDefault="00F77F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-1105535</wp:posOffset>
            </wp:positionH>
            <wp:positionV relativeFrom="paragraph">
              <wp:posOffset>-624840</wp:posOffset>
            </wp:positionV>
            <wp:extent cx="6576695" cy="100577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695" cy="1005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23"/>
          <w:szCs w:val="23"/>
        </w:rPr>
        <w:t>as</w:t>
      </w:r>
      <w:proofErr w:type="gramEnd"/>
      <w:r>
        <w:rPr>
          <w:rFonts w:ascii="Book Antiqua" w:hAnsi="Book Antiqua" w:cs="Book Antiqua"/>
          <w:sz w:val="23"/>
          <w:szCs w:val="23"/>
        </w:rPr>
        <w:t xml:space="preserve"> statutory compensation for services rendered in administering this estate.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1080" w:bottom="0" w:left="1180" w:header="720" w:footer="720" w:gutter="0"/>
          <w:cols w:num="2" w:space="1780" w:equalWidth="0">
            <w:col w:w="120" w:space="1780"/>
            <w:col w:w="80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5.  Notice of administration has been given as required by law.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67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6.  No California and federal estate taxes are due and payable by the estate.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112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7.  </w:t>
      </w:r>
      <w:r>
        <w:rPr>
          <w:rFonts w:ascii="Book Antiqua" w:hAnsi="Book Antiqua" w:cs="Book Antiqua"/>
          <w:i/>
          <w:iCs/>
          <w:sz w:val="20"/>
          <w:szCs w:val="20"/>
        </w:rPr>
        <w:t>[Use if no will]</w:t>
      </w:r>
      <w:r>
        <w:rPr>
          <w:rFonts w:ascii="Book Antiqua" w:hAnsi="Book Antiqua" w:cs="Book Antiqua"/>
          <w:sz w:val="24"/>
          <w:szCs w:val="24"/>
        </w:rPr>
        <w:t xml:space="preserve">The decedent died intestate, leaving the persons whose names, ages,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1" w:lineRule="exact"/>
        <w:rPr>
          <w:rFonts w:ascii="Book Antiqua" w:hAnsi="Book Antiqua" w:cs="Book Antiqua"/>
          <w:sz w:val="24"/>
          <w:szCs w:val="24"/>
        </w:rPr>
      </w:pPr>
    </w:p>
    <w:p w:rsidR="00806651" w:rsidRDefault="0001555D">
      <w:pPr>
        <w:widowControl w:val="0"/>
        <w:numPr>
          <w:ilvl w:val="0"/>
          <w:numId w:val="8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404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relationship to the decedent and addresses are set forth below as the only heirs at law: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380"/>
        <w:gridCol w:w="1100"/>
        <w:gridCol w:w="1640"/>
        <w:gridCol w:w="3880"/>
        <w:gridCol w:w="20"/>
      </w:tblGrid>
      <w:tr w:rsidR="00806651">
        <w:trPr>
          <w:trHeight w:val="39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Age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Relationshi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12</w:t>
            </w: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7.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[Use if decedent left a will]</w:t>
            </w:r>
          </w:p>
        </w:tc>
        <w:tc>
          <w:tcPr>
            <w:tcW w:w="66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By the terms of the decedent’s will, the property in the hands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52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13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28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of the </w:t>
            </w:r>
            <w:r>
              <w:rPr>
                <w:rFonts w:ascii="Book Antiqua" w:hAnsi="Book Antiqua" w:cs="Book Antiqua"/>
                <w:i/>
                <w:iCs/>
                <w:w w:val="99"/>
                <w:sz w:val="20"/>
                <w:szCs w:val="20"/>
              </w:rPr>
              <w:t>[executor/administrator/etc.]</w:t>
            </w: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 xml:space="preserve"> should be distributed to the following beneficiaries of the estate: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52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14</w:t>
            </w:r>
          </w:p>
        </w:tc>
        <w:tc>
          <w:tcPr>
            <w:tcW w:w="10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228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Age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Relationshi</w:t>
            </w:r>
            <w:proofErr w:type="spellEnd"/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Address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15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20</w:t>
            </w:r>
          </w:p>
        </w:tc>
        <w:tc>
          <w:tcPr>
            <w:tcW w:w="100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8.  The property is to be distributed to each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[heir/beneficiary]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as follows: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21</w:t>
            </w:r>
          </w:p>
        </w:tc>
        <w:tc>
          <w:tcPr>
            <w:tcW w:w="100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  <w:u w:val="single"/>
              </w:rPr>
              <w:t>Description of Share of Estate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0"/>
        </w:trPr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1"/>
                <w:sz w:val="24"/>
                <w:szCs w:val="24"/>
              </w:rPr>
              <w:t>22</w:t>
            </w: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70"/>
        </w:trPr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01555D">
      <w:pPr>
        <w:widowControl w:val="0"/>
        <w:autoSpaceDE w:val="0"/>
        <w:autoSpaceDN w:val="0"/>
        <w:adjustRightInd w:val="0"/>
        <w:spacing w:after="0" w:line="183" w:lineRule="auto"/>
        <w:ind w:left="5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[</w:t>
      </w:r>
      <w:proofErr w:type="gramStart"/>
      <w:r>
        <w:rPr>
          <w:rFonts w:ascii="Book Antiqua" w:hAnsi="Book Antiqua" w:cs="Book Antiqua"/>
          <w:i/>
          <w:iCs/>
          <w:sz w:val="20"/>
          <w:szCs w:val="20"/>
        </w:rPr>
        <w:t>describe</w:t>
      </w:r>
      <w:proofErr w:type="gramEnd"/>
      <w:r>
        <w:rPr>
          <w:rFonts w:ascii="Book Antiqua" w:hAnsi="Book Antiqua" w:cs="Book Antiqua"/>
          <w:i/>
          <w:iCs/>
          <w:sz w:val="20"/>
          <w:szCs w:val="20"/>
        </w:rPr>
        <w:t xml:space="preserve"> each asset individually and completely, including legal descriptions for real property, account numbers, etc.]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26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182" w:lineRule="auto"/>
        <w:ind w:left="124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</w:rPr>
        <w:t>9.  Any other property of decedent or the estate not now known or discovered that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27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187" w:lineRule="auto"/>
        <w:ind w:left="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Book Antiqua" w:hAnsi="Book Antiqua" w:cs="Book Antiqua"/>
          <w:sz w:val="19"/>
          <w:szCs w:val="19"/>
        </w:rPr>
        <w:t>may</w:t>
      </w:r>
      <w:proofErr w:type="gramEnd"/>
      <w:r>
        <w:rPr>
          <w:rFonts w:ascii="Book Antiqua" w:hAnsi="Book Antiqua" w:cs="Book Antiqua"/>
          <w:sz w:val="19"/>
          <w:szCs w:val="19"/>
        </w:rPr>
        <w:t xml:space="preserve"> belong to the estate or in which the decedent or the estate may have any interest shall be</w:t>
      </w:r>
    </w:p>
    <w:p w:rsidR="00806651" w:rsidRDefault="0001555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780" w:bottom="0" w:left="1060" w:header="720" w:footer="720" w:gutter="0"/>
          <w:cols w:space="1780" w:equalWidth="0">
            <w:col w:w="10400" w:space="178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BC3C2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type w:val="continuous"/>
          <w:pgSz w:w="12240" w:h="15840"/>
          <w:pgMar w:top="696" w:right="820" w:bottom="0" w:left="2620" w:header="720" w:footer="720" w:gutter="0"/>
          <w:cols w:space="1780" w:equalWidth="0">
            <w:col w:w="8800" w:space="178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020"/>
        <w:gridCol w:w="2000"/>
        <w:gridCol w:w="2160"/>
        <w:gridCol w:w="4680"/>
        <w:gridCol w:w="20"/>
      </w:tblGrid>
      <w:tr w:rsidR="00806651">
        <w:trPr>
          <w:trHeight w:val="324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F7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9"/>
            <w:bookmarkEnd w:id="5"/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page">
                    <wp:posOffset>897255</wp:posOffset>
                  </wp:positionH>
                  <wp:positionV relativeFrom="page">
                    <wp:posOffset>6985</wp:posOffset>
                  </wp:positionV>
                  <wp:extent cx="6576695" cy="10057765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695" cy="10057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BC3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7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1</w:t>
            </w:r>
          </w:p>
        </w:tc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distributed as follows: 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[specify names and percentages]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4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Dated:</w:t>
            </w: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197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82"/>
                <w:sz w:val="24"/>
                <w:szCs w:val="24"/>
              </w:rPr>
              <w:t>3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06651">
        <w:trPr>
          <w:trHeight w:val="316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06651" w:rsidRDefault="00015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w w:val="99"/>
                <w:sz w:val="24"/>
                <w:szCs w:val="24"/>
              </w:rPr>
              <w:t>Judge of the Superior Court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651" w:rsidRDefault="0080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06651" w:rsidRDefault="00806651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9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10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19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20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21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22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23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24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26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27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28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0155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06651">
          <w:pgSz w:w="12240" w:h="15840"/>
          <w:pgMar w:top="696" w:right="940" w:bottom="0" w:left="1060" w:header="720" w:footer="720" w:gutter="0"/>
          <w:cols w:space="720" w:equalWidth="0">
            <w:col w:w="10240"/>
          </w:cols>
          <w:noEndnote/>
        </w:sectPr>
      </w:pPr>
    </w:p>
    <w:p w:rsidR="00806651" w:rsidRDefault="0080665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806651" w:rsidRDefault="00BC3C2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hanging="944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806651" w:rsidRDefault="008066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6651">
      <w:type w:val="continuous"/>
      <w:pgSz w:w="12240" w:h="15840"/>
      <w:pgMar w:top="696" w:right="820" w:bottom="0" w:left="26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F90"/>
    <w:multiLevelType w:val="hybridMultilevel"/>
    <w:tmpl w:val="00001649"/>
    <w:lvl w:ilvl="0" w:tplc="00006DF1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5D"/>
    <w:rsid w:val="0001555D"/>
    <w:rsid w:val="006C5BEC"/>
    <w:rsid w:val="00806651"/>
    <w:rsid w:val="00B342A2"/>
    <w:rsid w:val="00BC3C20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072698-C408-4DB2-B34F-0A70AA2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Jordan, David C.</cp:lastModifiedBy>
  <cp:revision>2</cp:revision>
  <dcterms:created xsi:type="dcterms:W3CDTF">2015-12-02T18:52:00Z</dcterms:created>
  <dcterms:modified xsi:type="dcterms:W3CDTF">2015-12-02T18:52:00Z</dcterms:modified>
</cp:coreProperties>
</file>